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</w:p>
    <w:p>
      <w:pPr>
        <w:spacing w:after="0"/>
      </w:pPr>
    </w:p>
    <w:p>
      <w:pPr>
        <w:spacing w:after="200" w:before="200" w:line="360" w:lineRule="auto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30"/>
          <w:szCs w:val="30"/>
        </w:rPr>
        <w:t xml:space="preserve">Comparação de Desempenho entre HDD e SSD em Computadores de Laboratório Escolar: um Estudo de Caso</w:t>
      </w:r>
    </w:p>
    <w:p>
      <w:pPr>
        <w:spacing w:after="300" w:before="0" w:line="360" w:lineRule="auto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6"/>
          <w:szCs w:val="26"/>
        </w:rPr>
        <w:t xml:space="preserve">Performance Comparison between HDD and SSD in School Lab Computers: a Case Study</w:t>
      </w:r>
    </w:p>
    <w:p>
      <w:pPr>
        <w:spacing w:after="40" w:before="0" w:line="360" w:lineRule="auto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Maria Eduarda F. Silva   João Pedro A. Costa   Prof. Antônio R. Nunes¹</w:t>
      </w:r>
    </w:p>
    <w:p>
      <w:pPr>
        <w:spacing w:after="300" w:before="0" w:line="360" w:lineRule="auto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2026</w:t>
      </w:r>
    </w:p>
    <w:p>
      <w:pPr>
        <w:spacing w:after="40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18"/>
          <w:szCs w:val="18"/>
        </w:rPr>
        <w:t xml:space="preserve">¹ Professor orientador. Docente da área de Informática, IFRN Campus Ceará-Mirim.</w:t>
      </w:r>
    </w:p>
    <w:p>
      <w:pPr>
        <w:spacing w:after="160" w:before="240" w:line="360" w:lineRule="auto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6"/>
          <w:szCs w:val="26"/>
        </w:rPr>
        <w:t xml:space="preserve">Resumo</w:t>
      </w:r>
    </w:p>
    <w:p>
      <w:pPr>
        <w:spacing w:after="120" w:before="0"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O desempenho dos computadores de laboratórios escolares afeta diretamente o tempo de aula disponível para atividades práticas. Este trabalho tem como objetivo comparar o desempenho de computadores equipados com disco rígido (HDD) e com unidade de estado sólido (SSD) em tarefas típicas de um laboratório de informática escolar. Foram cronometrados o tempo de inicialização do sistema operacional, o tempo de abertura de um pacote de aplicativos de escritório e o tempo de cópia de um conjunto de arquivos de 2 GB, em dez máquinas com configuração idêntica, cinco com HDD e cinco com SSD. Os testes mostraram que as máquinas com SSD inicializaram, em média, 71% mais rápido que as máquinas com HDD, abriram os aplicativos 58% mais rápido e copiaram os arquivos 84% mais rápido. Conclui-se que a substituição do HDD pelo SSD reduz de forma expressiva o tempo ocioso em sala de aula, sendo uma medida de baixo custo relativo para melhorar o aproveitamento das aulas práticas de informática.</w:t>
      </w:r>
    </w:p>
    <w:p>
      <w:pPr>
        <w:spacing w:after="300" w:line="360" w:lineRule="auto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Palavras-chave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: Desempenho de computadores. SSD. HDD. Laboratório de informática.</w:t>
      </w:r>
    </w:p>
    <w:p>
      <w:pPr>
        <w:keepNext/>
        <w:spacing w:after="200" w:before="36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6"/>
          <w:szCs w:val="26"/>
        </w:rPr>
        <w:t xml:space="preserve">1  Introdução</w:t>
      </w:r>
    </w:p>
    <w:p>
      <w:pPr>
        <w:spacing w:after="120" w:before="0"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Laboratórios de informática escolares costumam operar por vários anos sem atualização de hardware, e o tempo gasto esperando o computador inicializar ou abrir programas reduz o tempo efetivo de aula. No laboratório de Informática do IFRN Campus Ceará-Mirim, professores relatam que parte significativa das aulas práticas é consumida por essa espera, o que motivou este trabalho.</w:t>
      </w:r>
    </w:p>
    <w:p>
      <w:pPr>
        <w:spacing w:after="120" w:before="0"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O problema investigado é: qual o impacto real, medido em tempo, da troca de disco rígido (HDD) por unidade de estado sólido (SSD) nas tarefas mais comuns realizadas em um laboratório de informática escolar? Essa pergunta é relevante porque a resposta orienta decisões de manutenção do laboratório com recursos limitados, e se relaciona diretamente com os conteúdos da disciplina de Organização e Manutenção de Computadores, do núcleo tecnológico do curso.</w:t>
      </w:r>
    </w:p>
    <w:p>
      <w:pPr>
        <w:spacing w:after="120" w:before="0"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O objetivo geral deste trabalho é comparar o desempenho de computadores com HDD e com SSD em três tarefas típicas de uso escolar. Os objetivos específicos são: (a) medir o tempo de inicialização do sistema operacional; (b) medir o tempo de abertura de um pacote de aplicativos de escritório; e (c) medir o tempo de cópia de um conjunto de arquivos.</w:t>
      </w:r>
    </w:p>
    <w:p>
      <w:pPr>
        <w:spacing w:after="120" w:before="0"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Este artigo está organizado da seguinte forma: a seção 2 apresenta os conceitos técnicos de HDD e SSD e trabalhos relacionados; a seção 3 descreve a metodologia dos testes; a seção 4 apresenta e discute os resultados; e a seção 5 traz a conclusão.</w:t>
      </w:r>
    </w:p>
    <w:p>
      <w:pPr>
        <w:keepNext/>
        <w:spacing w:after="200" w:before="36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6"/>
          <w:szCs w:val="26"/>
        </w:rPr>
        <w:t xml:space="preserve">2  Fundamentação Teórica</w:t>
      </w:r>
    </w:p>
    <w:p>
      <w:pPr>
        <w:spacing w:after="120" w:before="0"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O disco rígido (HDD) armazena dados em pratos magnéticos giratórios, lidos por uma cabeça de leitura e gravação que se desloca fisicamente sobre o disco (TORRES, 2016). Esse movimento mecânico é o principal fator que limita a velocidade de acesso aos dados, especialmente em operações que exigem muitos acessos pequenos e espalhados, como a inicialização de um sistema operacional.</w:t>
      </w:r>
    </w:p>
    <w:p>
      <w:pPr>
        <w:spacing w:after="120" w:before="0"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 unidade de estado sólido (SSD) armazena dados em memória flash, sem partes móveis. Segundo Torres (2016, p. 212), “a ausência de componentes mecânicos elimina o tempo de busca (seek time) e a latência rotacional, principais gargalos de desempenho do HDD”. Isso resulta em tempos de acesso muito menores, sobretudo em operações de leitura aleatória, comuns durante a inicialização do sistema e a abertura de programas.</w:t>
      </w:r>
    </w:p>
    <w:p>
      <w:pPr>
        <w:spacing w:after="120" w:before="0"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Estudos de manutenção de laboratórios escolares, como o relatado por Alencar e Ferreira (2019), mostram que a substituição do HDD por SSD costuma ser uma das intervenções de melhor custo-benefício em parques de máquinas já depreciados, por não exigir troca de outros componentes.</w:t>
      </w:r>
    </w:p>
    <w:p>
      <w:pPr>
        <w:spacing w:after="120" w:before="0"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Os conceitos de arquitetura de armazenamento, tempo de acesso e taxa de transferência revisados nesta seção são tratados na disciplina de Organização e Manutenção de Computadores do curso, o que situa este trabalho como aplicação prática desses conteúdos, e não apenas um teste informal de desempenho.</w:t>
      </w:r>
    </w:p>
    <w:p>
      <w:pPr>
        <w:keepNext/>
        <w:spacing w:after="200" w:before="36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6"/>
          <w:szCs w:val="26"/>
        </w:rPr>
        <w:t xml:space="preserve">3  Metodologia</w:t>
      </w:r>
    </w:p>
    <w:p>
      <w:pPr>
        <w:spacing w:after="120" w:before="0"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Esta pesquisa é de natureza experimental e comparativa. Os testes foram realizados em dez computadores do Laboratório de Informática 2 do IFRN Campus Ceará-Mirim, todos com a mesma configuração de processador, memória RAM e sistema operacional (Linux, distribuição Ubuntu 22.04), diferindo apenas no tipo de disco: cinco máquinas com HDD de 5.400 RPM e cinco máquinas com SSD SATA III, ambos de 240 GB.</w:t>
      </w:r>
    </w:p>
    <w:p>
      <w:pPr>
        <w:spacing w:after="120" w:before="0"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Foram cronometradas três tarefas, repetidas três vezes em cada máquina, com o tempo médio registrado em segundos:</w:t>
      </w:r>
    </w:p>
    <w:p>
      <w:pPr>
        <w:pStyle w:val="ListParagraph"/>
        <w:numPr>
          <w:ilvl w:val="0"/>
          <w:numId w:val="1"/>
        </w:numPr>
        <w:spacing w:after="80" w:line="360" w:lineRule="auto"/>
        <w:ind w:left="1134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Inicialização: tempo entre ligar a máquina e a tela de login estar pronta para uso;</w:t>
      </w:r>
    </w:p>
    <w:p>
      <w:pPr>
        <w:pStyle w:val="ListParagraph"/>
        <w:numPr>
          <w:ilvl w:val="0"/>
          <w:numId w:val="1"/>
        </w:numPr>
        <w:spacing w:after="80" w:line="360" w:lineRule="auto"/>
        <w:ind w:left="1134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Abertura de aplicativos: tempo entre o duplo clique no ícone de um pacote de escritório e a janela ficar pronta para digitação;</w:t>
      </w:r>
    </w:p>
    <w:p>
      <w:pPr>
        <w:pStyle w:val="ListParagraph"/>
        <w:numPr>
          <w:ilvl w:val="0"/>
          <w:numId w:val="1"/>
        </w:numPr>
        <w:spacing w:after="80" w:line="360" w:lineRule="auto"/>
        <w:ind w:left="1134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Cópia de arquivos: tempo para copiar uma pasta de 2 GB, com arquivos de tamanhos variados, de um pendrive para o disco local.</w:t>
      </w:r>
    </w:p>
    <w:p>
      <w:pPr>
        <w:spacing w:after="120" w:before="120"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Os testes foram realizados no período de duas semanas de outubro de 2026, conforme o plano de atividades da prática profissional deferido pelo orientador, fora do horário de aula, para não interferir no uso do laboratório. Os tempos foram medidos com cronômetro digital e registrados em planilha eletrônica, na qual também foi calculada a média e a variação percentual entre os grupos HDD e SSD.</w:t>
      </w:r>
    </w:p>
    <w:p>
      <w:pPr>
        <w:keepNext/>
        <w:spacing w:after="200" w:before="36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6"/>
          <w:szCs w:val="26"/>
        </w:rPr>
        <w:t xml:space="preserve">4  Resultados e Discussão</w:t>
      </w:r>
    </w:p>
    <w:p>
      <w:pPr>
        <w:spacing w:after="120" w:before="0"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 Tabela 1 apresenta o tempo médio, em segundos, de cada tarefa nos dois grupos de máquinas.</w:t>
      </w:r>
    </w:p>
    <w:p>
      <w:pPr>
        <w:spacing w:after="80" w:before="200" w:line="360" w:lineRule="auto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Tabela 1 – Tempo médio por tarefa, em segundos</w:t>
      </w:r>
    </w:p>
    <w:tbl>
      <w:tblPr>
        <w:tblW w:type="dxa" w:w="538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46"/>
        <w:gridCol w:w="1346"/>
        <w:gridCol w:w="1346"/>
        <w:gridCol w:w="1346"/>
      </w:tblGrid>
      <w:tr>
        <w:tc>
          <w:tcPr>
            <w:tcW w:type="dxa" w:w="1346"/>
            <w:shd w:fill="E8E8E8" w:val="clear"/>
          </w:tcPr>
          <w:p>
            <w:pPr>
              <w:spacing w:line="360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Tarefa</w:t>
            </w:r>
          </w:p>
        </w:tc>
        <w:tc>
          <w:tcPr>
            <w:tcW w:type="dxa" w:w="1346"/>
            <w:shd w:fill="E8E8E8" w:val="clear"/>
          </w:tcPr>
          <w:p>
            <w:pPr>
              <w:spacing w:line="360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HDD (média)</w:t>
            </w:r>
          </w:p>
        </w:tc>
        <w:tc>
          <w:tcPr>
            <w:tcW w:type="dxa" w:w="1346"/>
            <w:shd w:fill="E8E8E8" w:val="clear"/>
          </w:tcPr>
          <w:p>
            <w:pPr>
              <w:spacing w:line="360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SSD (média)</w:t>
            </w:r>
          </w:p>
        </w:tc>
        <w:tc>
          <w:tcPr>
            <w:tcW w:type="dxa" w:w="1346"/>
            <w:shd w:fill="E8E8E8" w:val="clear"/>
          </w:tcPr>
          <w:p>
            <w:pPr>
              <w:spacing w:line="360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Redução</w:t>
            </w:r>
          </w:p>
        </w:tc>
      </w:tr>
      <w:tr>
        <w:tc>
          <w:tcPr>
            <w:tcW w:type="dxa" w:w="1346"/>
          </w:tcPr>
          <w:p>
            <w:pPr>
              <w:spacing w:line="36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Inicialização do sistema</w:t>
            </w:r>
          </w:p>
        </w:tc>
        <w:tc>
          <w:tcPr>
            <w:tcW w:type="dxa" w:w="1346"/>
          </w:tcPr>
          <w:p>
            <w:pPr>
              <w:spacing w:line="36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58,4 s</w:t>
            </w:r>
          </w:p>
        </w:tc>
        <w:tc>
          <w:tcPr>
            <w:tcW w:type="dxa" w:w="1346"/>
          </w:tcPr>
          <w:p>
            <w:pPr>
              <w:spacing w:line="36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16,9 s</w:t>
            </w:r>
          </w:p>
        </w:tc>
        <w:tc>
          <w:tcPr>
            <w:tcW w:type="dxa" w:w="1346"/>
          </w:tcPr>
          <w:p>
            <w:pPr>
              <w:spacing w:line="36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71%</w:t>
            </w:r>
          </w:p>
        </w:tc>
      </w:tr>
      <w:tr>
        <w:tc>
          <w:tcPr>
            <w:tcW w:type="dxa" w:w="1346"/>
          </w:tcPr>
          <w:p>
            <w:pPr>
              <w:spacing w:line="36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Abertura de aplicativos</w:t>
            </w:r>
          </w:p>
        </w:tc>
        <w:tc>
          <w:tcPr>
            <w:tcW w:type="dxa" w:w="1346"/>
          </w:tcPr>
          <w:p>
            <w:pPr>
              <w:spacing w:line="36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12,1 s</w:t>
            </w:r>
          </w:p>
        </w:tc>
        <w:tc>
          <w:tcPr>
            <w:tcW w:type="dxa" w:w="1346"/>
          </w:tcPr>
          <w:p>
            <w:pPr>
              <w:spacing w:line="36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5,1 s</w:t>
            </w:r>
          </w:p>
        </w:tc>
        <w:tc>
          <w:tcPr>
            <w:tcW w:type="dxa" w:w="1346"/>
          </w:tcPr>
          <w:p>
            <w:pPr>
              <w:spacing w:line="36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58%</w:t>
            </w:r>
          </w:p>
        </w:tc>
      </w:tr>
      <w:tr>
        <w:tc>
          <w:tcPr>
            <w:tcW w:type="dxa" w:w="1346"/>
          </w:tcPr>
          <w:p>
            <w:pPr>
              <w:spacing w:line="36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Cópia de arquivos (2 GB)</w:t>
            </w:r>
          </w:p>
        </w:tc>
        <w:tc>
          <w:tcPr>
            <w:tcW w:type="dxa" w:w="1346"/>
          </w:tcPr>
          <w:p>
            <w:pPr>
              <w:spacing w:line="36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94,7 s</w:t>
            </w:r>
          </w:p>
        </w:tc>
        <w:tc>
          <w:tcPr>
            <w:tcW w:type="dxa" w:w="1346"/>
          </w:tcPr>
          <w:p>
            <w:pPr>
              <w:spacing w:line="36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15,2 s</w:t>
            </w:r>
          </w:p>
        </w:tc>
        <w:tc>
          <w:tcPr>
            <w:tcW w:type="dxa" w:w="1346"/>
          </w:tcPr>
          <w:p>
            <w:pPr>
              <w:spacing w:line="36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84%</w:t>
            </w:r>
          </w:p>
        </w:tc>
      </w:tr>
    </w:tbl>
    <w:p>
      <w:pPr>
        <w:spacing w:after="200" w:before="80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18"/>
          <w:szCs w:val="18"/>
        </w:rPr>
        <w:t xml:space="preserve">Fonte: elaborado pelos autores (2026), a partir dos testes descritos na seção 3.</w:t>
      </w:r>
    </w:p>
    <w:p>
      <w:pPr>
        <w:spacing w:after="120" w:before="0"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Os resultados confirmam o que Torres (2016) descreve sobre a eliminação do tempo de busca e da latência rotacional no SSD: as maiores reduções percentuais ocorreram justamente nas tarefas com mais operações de leitura pequenas e espalhadas — inicialização do sistema e cópia de muitos arquivos pequenos —, e não apenas na transferência de dados em bloco.</w:t>
      </w:r>
    </w:p>
    <w:p>
      <w:pPr>
        <w:spacing w:after="120" w:before="0"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 redução de 71% no tempo de inicialização, em particular, representa cerca de 41 segundos a menos por aula em que o laboratório é usado, considerando que os alunos ligam a máquina no início do período. Ao longo de uma semana de aulas práticas, essa diferença se traduz em minutos a mais de tempo efetivo de uso do computador, o que responde diretamente ao objetivo deste trabalho.</w:t>
      </w:r>
    </w:p>
    <w:p>
      <w:pPr>
        <w:spacing w:after="120" w:before="0"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Esses resultados também estão alinhados com o observado por Alencar e Ferreira (2019) em outros laboratórios escolares, reforçando que a troca de disco é uma intervenção replicável e com ganho perceptível mesmo sem trocar outros componentes da máquina.</w:t>
      </w:r>
    </w:p>
    <w:p>
      <w:pPr>
        <w:keepNext/>
        <w:spacing w:after="200" w:before="36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6"/>
          <w:szCs w:val="26"/>
        </w:rPr>
        <w:t xml:space="preserve">5  Conclusão</w:t>
      </w:r>
    </w:p>
    <w:p>
      <w:pPr>
        <w:spacing w:after="120" w:before="0"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Este trabalho comparou o desempenho de computadores com HDD e com SSD em três tarefas típicas de um laboratório de informática escolar e constatou reduções de tempo entre 58% e 84% a favor do SSD, respondendo ao objetivo proposto. O resultado mais relevante, para o contexto escolar, foi a redução de 71% no tempo de inicialização, por ser a tarefa realizada em todas as aulas.</w:t>
      </w:r>
    </w:p>
    <w:p>
      <w:pPr>
        <w:spacing w:after="120" w:before="0"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Do ponto de vista da formação técnica, o trabalho permitiu aplicar, em condições reais de laboratório, conceitos de arquitetura de armazenamento estudados em Organização e Manutenção de Computadores, articulando a teoria da disciplina com um problema concreto de manutenção do próprio câmpus.</w:t>
      </w:r>
    </w:p>
    <w:p>
      <w:pPr>
        <w:spacing w:after="120" w:before="0"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Como limitação, os testes usaram apenas um modelo de SSD e um de HDD, e não avaliaram o custo de aquisição em relação ao ganho de desempenho. Como sugestão de trabalho futuro, recomenda-se repetir os testes com discos SSD NVMe e incluir uma análise de custo-benefício para subsidiar decisões de compra do câmpus.</w:t>
      </w:r>
    </w:p>
    <w:p>
      <w:pPr>
        <w:keepNext/>
        <w:spacing w:after="200" w:before="36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6"/>
          <w:szCs w:val="26"/>
        </w:rPr>
        <w:t xml:space="preserve">Referências</w:t>
      </w:r>
    </w:p>
    <w:p>
      <w:pPr>
        <w:spacing w:after="160" w:line="360" w:lineRule="auto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ALENCAR, R. M.; FERREIRA, T. S. Manutenção preventiva em laboratórios de informática escolares: um estudo de caso em três escolas públicas. Revista Técnica de Informática Aplicada, Natal, v. 4, n. 2, p. 45-58, 2019.</w:t>
      </w:r>
    </w:p>
    <w:p>
      <w:pPr>
        <w:spacing w:after="160" w:line="360" w:lineRule="auto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TORRES, Gabriel. Hardware: manual completo. 7. ed. Rio de Janeiro: Nova Terra, 2016.</w:t>
      </w:r>
    </w:p>
    <w:sectPr>
      <w:headerReference w:type="default" r:id="rId9"/>
      <w:footerReference w:type="default" r:id="rId7"/>
      <w:pgSz w:w="11906" w:h="16838" w:orient="portrait"/>
      <w:pgMar w:top="1701" w:right="1134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>
  <w:p>
    <w:pPr>
      <w:pBdr>
        <w:bottom w:val="single" w:sz="4" w:space="4" w:color="999999"/>
      </w:pBdr>
      <w:tabs>
        <w:tab w:val="center" w:pos="4536"/>
        <w:tab w:val="right" w:pos="9072"/>
      </w:tabs>
      <w:ind w:firstLine="0"/>
    </w:pPr>
    <w:r>
      <w:rPr>
        <w:noProof/>
      </w:rPr>
      <w:drawing>
        <wp:inline distT="0" distB="0" distL="0" distR="0">
          <wp:extent cx="900000" cy="323892"/>
          <wp:effectExtent l="0" t="0" r="0" b="0"/>
          <wp:docPr id="1" name="Logo IFRN"/>
          <wp:cNvGraphicFramePr>
            <a:graphicFrameLocks xmlns:a="http://schemas.openxmlformats.org/drawingml/2006/main" noChangeAspect="1"/>
          </wp:cNvGraphicFramePr>
          <a:graphic>
            <a:graphicData uri="http://schemas.openxmlformats.org/drawingml/2006/picture">
              <pic:pic>
                <pic:nvPicPr>
                  <pic:cNvPr id="1" name="Logo IFRN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00000" cy="3238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eastAsia="Times New Roman" w:hAnsi="Times New Roman" w:cs="Times New Roman"/>
        <w:i/>
        <w:iCs/>
        <w:sz w:val="18"/>
        <w:szCs w:val="18"/>
      </w:rPr>
      <w:tab/>
      <w:tab/>
    </w:r>
    <w:r>
      <w:rPr>
        <w:rFonts w:ascii="Times New Roman" w:eastAsia="Times New Roman" w:hAnsi="Times New Roman" w:cs="Times New Roman"/>
        <w:i/>
        <w:iCs/>
        <w:sz w:val="18"/>
        <w:szCs w:val="18"/>
      </w:rPr>
      <w:t xml:space="preserve">IFRN – Campus Ceará-Mirim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header" Target="header1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2026-09-22T12:36:23.289Z</dcterms:created>
  <dcterms:modified xsi:type="dcterms:W3CDTF">2026-09-22T12:36:23.290Z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